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1F3A5F"/>
          <w:sz w:val="32"/>
          <w:szCs w:val="32"/>
        </w:rPr>
        <w:t xml:space="preserve">INFORMACJA O PRZETWARZANIU DANYCH OSOBOWYCH</w:t>
      </w:r>
    </w:p>
    <w:p>
      <w:pPr>
        <w:spacing w:after="40"/>
        <w:jc w:val="center"/>
      </w:pPr>
      <w:r>
        <w:rPr>
          <w:color w:val="595959"/>
          <w:sz w:val="22"/>
          <w:szCs w:val="22"/>
        </w:rPr>
        <w:t xml:space="preserve">Klauzula informacyjna administratora danych osobowych</w:t>
      </w:r>
    </w:p>
    <w:p>
      <w:pPr>
        <w:pBdr>
          <w:bottom w:val="single" w:color="B08D3C" w:sz="12" w:space="6"/>
        </w:pBdr>
        <w:spacing w:after="240"/>
        <w:jc w:val="center"/>
      </w:pPr>
      <w:r>
        <w:rPr>
          <w:sz w:val="2"/>
          <w:szCs w:val="2"/>
        </w:rPr>
        <w:t xml:space="preserve"/>
      </w:r>
    </w:p>
    <w:p>
      <w:pPr>
        <w:pStyle w:val="Heading1"/>
        <w:spacing w:after="140" w:before="300"/>
      </w:pPr>
      <w:r>
        <w:rPr>
          <w:color w:val="1F3A5F"/>
        </w:rPr>
        <w:t xml:space="preserve">1. Administrator danych</w:t>
      </w:r>
    </w:p>
    <w:p>
      <w:pPr>
        <w:spacing w:after="120" w:line="276"/>
        <w:jc w:val="both"/>
      </w:pPr>
      <w:r>
        <w:t xml:space="preserve">Administratorem Pani/Pana danych osobowych jest </w:t>
      </w:r>
      <w:r>
        <w:rPr>
          <w:b/>
          <w:bCs/>
        </w:rPr>
        <w:t xml:space="preserve">Piotr Sperka Pośrednictwo Finansowe</w:t>
      </w:r>
      <w:r>
        <w:t xml:space="preserve">, os. Kombatantów 8/12, 31-630 Kraków, NIP 6783029128, REGON 122488040, działający również pod markami handlowymi </w:t>
      </w:r>
      <w:r>
        <w:rPr>
          <w:b/>
          <w:bCs/>
        </w:rPr>
        <w:t xml:space="preserve">INSOKL</w:t>
      </w:r>
      <w:r>
        <w:t xml:space="preserve"> (insokl.pl) oraz </w:t>
      </w:r>
      <w:r>
        <w:rPr>
          <w:b/>
          <w:bCs/>
        </w:rPr>
        <w:t xml:space="preserve">MEDSOKL</w:t>
      </w:r>
      <w:r>
        <w:t xml:space="preserve"> (medsokl.pl), a także w serwisach powiązanych: ubezpieczamnnw.pl, ubezpieczampodroz.pl i ubezpieczammieszkanie.pl — dalej „Agent”.</w:t>
      </w:r>
    </w:p>
    <w:p>
      <w:pPr>
        <w:spacing w:after="120" w:line="276"/>
        <w:jc w:val="both"/>
      </w:pPr>
      <w:r>
        <w:t xml:space="preserve">Kontakt w sprawach danych osobowych: e-mail </w:t>
      </w:r>
      <w:r>
        <w:rPr>
          <w:b/>
          <w:bCs/>
        </w:rPr>
        <w:t xml:space="preserve">piotr@insokl.pl</w:t>
      </w:r>
      <w:r>
        <w:t xml:space="preserve">, tel. </w:t>
      </w:r>
      <w:r>
        <w:rPr>
          <w:b/>
          <w:bCs/>
        </w:rPr>
        <w:t xml:space="preserve">604-282-922</w:t>
      </w:r>
      <w:r>
        <w:t xml:space="preserve">, lub korespondencyjnie na adres siedziby.</w:t>
      </w:r>
    </w:p>
    <w:p>
      <w:pPr>
        <w:pStyle w:val="Heading1"/>
        <w:spacing w:after="140" w:before="300"/>
      </w:pPr>
      <w:r>
        <w:rPr>
          <w:color w:val="1F3A5F"/>
        </w:rPr>
        <w:t xml:space="preserve">2. W jakiej roli Agent przetwarza dane</w:t>
      </w:r>
    </w:p>
    <w:p>
      <w:pPr>
        <w:spacing w:after="120" w:line="276"/>
        <w:jc w:val="both"/>
      </w:pPr>
      <w:r>
        <w:t xml:space="preserve">Agent jest agentem ubezpieczeniowym wykonującym działalność agencyjną na rzecz więcej niż jednego zakładu ubezpieczeń (multiagentem), wpisanym do rejestru agentów prowadzonego przez Komisję Nadzoru Finansowego pod numerem </w:t>
      </w:r>
      <w:r>
        <w:rPr>
          <w:b/>
          <w:bCs/>
        </w:rPr>
        <w:t xml:space="preserve">11259696/A</w:t>
      </w:r>
      <w:r>
        <w:t xml:space="preserve">. W zależności od etapu obsługi Agent występuje w dwóch rolach:</w:t>
      </w:r>
    </w:p>
    <w:p>
      <w:pPr>
        <w:pStyle w:val="ListParagraph"/>
        <w:numPr>
          <w:ilvl w:val="0"/>
          <w:numId w:val="2"/>
        </w:numPr>
        <w:spacing w:after="70" w:line="276"/>
        <w:jc w:val="both"/>
      </w:pPr>
      <w:r>
        <w:rPr>
          <w:b/>
          <w:bCs/>
        </w:rPr>
        <w:t xml:space="preserve">jako samodzielny administrator</w:t>
      </w:r>
      <w:r>
        <w:t xml:space="preserve"> — w zakresie obsługi zapytań, analizy Pani/Pana wymagań i potrzeb, przygotowywania i porównywania propozycji ubezpieczeń, prowadzenia własnej bazy klientów, obsługi wznowień, marketingu własnych usług, rozpatrywania reklamacji dotyczących własnej działalności oraz rozliczeń i dokumentacji;</w:t>
      </w:r>
    </w:p>
    <w:p>
      <w:pPr>
        <w:pStyle w:val="ListParagraph"/>
        <w:numPr>
          <w:ilvl w:val="0"/>
          <w:numId w:val="2"/>
        </w:numPr>
        <w:spacing w:after="70" w:line="276"/>
        <w:jc w:val="both"/>
      </w:pPr>
      <w:r>
        <w:rPr>
          <w:b/>
          <w:bCs/>
        </w:rPr>
        <w:t xml:space="preserve">jako podmiot przetwarzający w imieniu zakładu ubezpieczeń</w:t>
      </w:r>
      <w:r>
        <w:t xml:space="preserve"> — w zakresie czynności zmierzających do zawarcia i wykonania konkretnej umowy ubezpieczenia. Administratorem danych jest wówczas dany zakład ubezpieczeń, który spełnia wobec Pani/Pana własny obowiązek informacyjny (przy wniosku lub polisie).</w:t>
      </w:r>
    </w:p>
    <w:p>
      <w:pPr>
        <w:pStyle w:val="Heading1"/>
        <w:spacing w:after="140" w:before="300"/>
      </w:pPr>
      <w:r>
        <w:rPr>
          <w:color w:val="1F3A5F"/>
        </w:rPr>
        <w:t xml:space="preserve">3. Cele, podstawy prawne i okresy przechowywania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800"/>
        <w:gridCol w:w="2626"/>
      </w:tblGrid>
      <w:tr>
        <w:trPr>
          <w:tblHeader/>
        </w:trPr>
        <w:tc>
          <w:tcPr>
            <w:tcW w:type="dxa" w:w="2600"/>
            <w:shd w:fill="E8EDF4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line="252"/>
            </w:pPr>
            <w:r>
              <w:rPr>
                <w:b/>
                <w:bCs/>
                <w:sz w:val="19"/>
                <w:szCs w:val="19"/>
              </w:rPr>
              <w:t xml:space="preserve">Cel</w:t>
            </w:r>
          </w:p>
        </w:tc>
        <w:tc>
          <w:tcPr>
            <w:tcW w:type="dxa" w:w="3800"/>
            <w:shd w:fill="E8EDF4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line="252"/>
            </w:pPr>
            <w:r>
              <w:rPr>
                <w:b/>
                <w:bCs/>
                <w:sz w:val="19"/>
                <w:szCs w:val="19"/>
              </w:rPr>
              <w:t xml:space="preserve">Podstawa prawna</w:t>
            </w:r>
          </w:p>
        </w:tc>
        <w:tc>
          <w:tcPr>
            <w:tcW w:type="dxa" w:w="2626"/>
            <w:shd w:fill="E8EDF4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line="252"/>
            </w:pPr>
            <w:r>
              <w:rPr>
                <w:b/>
                <w:bCs/>
                <w:sz w:val="19"/>
                <w:szCs w:val="19"/>
              </w:rPr>
              <w:t xml:space="preserve">Okres przechowywania</w:t>
            </w:r>
          </w:p>
        </w:tc>
      </w:tr>
      <w:tr>
        <w:tc>
          <w:tcPr>
            <w:tcW w:type="dxa" w:w="2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line="252"/>
            </w:pPr>
            <w:r>
              <w:rPr>
                <w:b w:val="false"/>
                <w:bCs w:val="false"/>
                <w:sz w:val="19"/>
                <w:szCs w:val="19"/>
              </w:rPr>
              <w:t xml:space="preserve">Odpowiedź na zapytanie i kontakt zwrotny</w:t>
            </w:r>
          </w:p>
        </w:tc>
        <w:tc>
          <w:tcPr>
            <w:tcW w:type="dxa" w:w="38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line="252"/>
            </w:pPr>
            <w:r>
              <w:rPr>
                <w:b w:val="false"/>
                <w:bCs w:val="false"/>
                <w:sz w:val="19"/>
                <w:szCs w:val="19"/>
              </w:rPr>
              <w:t xml:space="preserve">art. 6 ust. 1 lit. b RODO (działania przed zawarciem umowy) oraz lit. f (komunikacja)</w:t>
            </w:r>
          </w:p>
        </w:tc>
        <w:tc>
          <w:tcPr>
            <w:tcW w:type="dxa" w:w="26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line="252"/>
            </w:pPr>
            <w:r>
              <w:rPr>
                <w:b w:val="false"/>
                <w:bCs w:val="false"/>
                <w:sz w:val="19"/>
                <w:szCs w:val="19"/>
              </w:rPr>
              <w:t xml:space="preserve">do zakończenia obsługi zapytania, następnie do 12 miesięcy w celach dowodowych</w:t>
            </w:r>
          </w:p>
        </w:tc>
      </w:tr>
      <w:tr>
        <w:tc>
          <w:tcPr>
            <w:tcW w:type="dxa" w:w="2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line="252"/>
            </w:pPr>
            <w:r>
              <w:rPr>
                <w:b w:val="false"/>
                <w:bCs w:val="false"/>
                <w:sz w:val="19"/>
                <w:szCs w:val="19"/>
              </w:rPr>
              <w:t xml:space="preserve">Analiza wymagań i potrzeb, przygotowanie i porównanie propozycji ubezpieczeniowych, realizacja obowiązków informacyjnych</w:t>
            </w:r>
          </w:p>
        </w:tc>
        <w:tc>
          <w:tcPr>
            <w:tcW w:type="dxa" w:w="38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line="252"/>
            </w:pPr>
            <w:r>
              <w:rPr>
                <w:b w:val="false"/>
                <w:bCs w:val="false"/>
                <w:sz w:val="19"/>
                <w:szCs w:val="19"/>
              </w:rPr>
              <w:t xml:space="preserve">art. 6 ust. 1 lit. c RODO w zw. z ustawą z 15.12.2017 r. o dystrybucji ubezpieczeń</w:t>
            </w:r>
          </w:p>
        </w:tc>
        <w:tc>
          <w:tcPr>
            <w:tcW w:type="dxa" w:w="26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line="252"/>
            </w:pPr>
            <w:r>
              <w:rPr>
                <w:b w:val="false"/>
                <w:bCs w:val="false"/>
                <w:sz w:val="19"/>
                <w:szCs w:val="19"/>
              </w:rPr>
              <w:t xml:space="preserve">okres wykonywania czynności agencyjnych oraz okres przedawnienia roszczeń</w:t>
            </w:r>
          </w:p>
        </w:tc>
      </w:tr>
      <w:tr>
        <w:tc>
          <w:tcPr>
            <w:tcW w:type="dxa" w:w="2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line="252"/>
            </w:pPr>
            <w:r>
              <w:rPr>
                <w:b w:val="false"/>
                <w:bCs w:val="false"/>
                <w:sz w:val="19"/>
                <w:szCs w:val="19"/>
              </w:rPr>
              <w:t xml:space="preserve">Czynności zmierzające do zawarcia i wykonania umowy (wniosek, polisa, inkaso składki)</w:t>
            </w:r>
          </w:p>
        </w:tc>
        <w:tc>
          <w:tcPr>
            <w:tcW w:type="dxa" w:w="38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line="252"/>
            </w:pPr>
            <w:r>
              <w:rPr>
                <w:b w:val="false"/>
                <w:bCs w:val="false"/>
                <w:sz w:val="19"/>
                <w:szCs w:val="19"/>
              </w:rPr>
              <w:t xml:space="preserve">przetwarzanie w imieniu zakładu ubezpieczeń na podstawie umowy powierzenia (art. 28 RODO)</w:t>
            </w:r>
          </w:p>
        </w:tc>
        <w:tc>
          <w:tcPr>
            <w:tcW w:type="dxa" w:w="26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line="252"/>
            </w:pPr>
            <w:r>
              <w:rPr>
                <w:b w:val="false"/>
                <w:bCs w:val="false"/>
                <w:sz w:val="19"/>
                <w:szCs w:val="19"/>
              </w:rPr>
              <w:t xml:space="preserve">zgodnie z zasadami danego zakładu ubezpieczeń</w:t>
            </w:r>
          </w:p>
        </w:tc>
      </w:tr>
      <w:tr>
        <w:tc>
          <w:tcPr>
            <w:tcW w:type="dxa" w:w="2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line="252"/>
            </w:pPr>
            <w:r>
              <w:rPr>
                <w:b w:val="false"/>
                <w:bCs w:val="false"/>
                <w:sz w:val="19"/>
                <w:szCs w:val="19"/>
              </w:rPr>
              <w:t xml:space="preserve">Obsługa posprzedażowa: przypomnienia o końcu ochrony i wznowieniach</w:t>
            </w:r>
          </w:p>
        </w:tc>
        <w:tc>
          <w:tcPr>
            <w:tcW w:type="dxa" w:w="38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line="252"/>
            </w:pPr>
            <w:r>
              <w:rPr>
                <w:b w:val="false"/>
                <w:bCs w:val="false"/>
                <w:sz w:val="19"/>
                <w:szCs w:val="19"/>
              </w:rPr>
              <w:t xml:space="preserve">art. 6 ust. 1 lit. f RODO (utrzymanie relacji i ciągłości ochrony)</w:t>
            </w:r>
          </w:p>
        </w:tc>
        <w:tc>
          <w:tcPr>
            <w:tcW w:type="dxa" w:w="26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line="252"/>
            </w:pPr>
            <w:r>
              <w:rPr>
                <w:b w:val="false"/>
                <w:bCs w:val="false"/>
                <w:sz w:val="19"/>
                <w:szCs w:val="19"/>
              </w:rPr>
              <w:t xml:space="preserve">przez okres obsługi oraz do 3 lat od końca ostatniej ochrony, nie dłużej niż do sprzeciwu</w:t>
            </w:r>
          </w:p>
        </w:tc>
      </w:tr>
      <w:tr>
        <w:tc>
          <w:tcPr>
            <w:tcW w:type="dxa" w:w="2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line="252"/>
            </w:pPr>
            <w:r>
              <w:rPr>
                <w:b w:val="false"/>
                <w:bCs w:val="false"/>
                <w:sz w:val="19"/>
                <w:szCs w:val="19"/>
              </w:rPr>
              <w:t xml:space="preserve">Marketing własnych usług Agenta</w:t>
            </w:r>
          </w:p>
        </w:tc>
        <w:tc>
          <w:tcPr>
            <w:tcW w:type="dxa" w:w="38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line="252"/>
            </w:pPr>
            <w:r>
              <w:rPr>
                <w:b w:val="false"/>
                <w:bCs w:val="false"/>
                <w:sz w:val="19"/>
                <w:szCs w:val="19"/>
              </w:rPr>
              <w:t xml:space="preserve">art. 6 ust. 1 lit. f RODO; kontakt e-mail / SMS / telefoniczny — po odrębnej zgodzie z art. 398 Prawa komunikacji elektronicznej</w:t>
            </w:r>
          </w:p>
        </w:tc>
        <w:tc>
          <w:tcPr>
            <w:tcW w:type="dxa" w:w="26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line="252"/>
            </w:pPr>
            <w:r>
              <w:rPr>
                <w:b w:val="false"/>
                <w:bCs w:val="false"/>
                <w:sz w:val="19"/>
                <w:szCs w:val="19"/>
              </w:rPr>
              <w:t xml:space="preserve">do cofnięcia zgody lub zgłoszenia sprzeciwu</w:t>
            </w:r>
          </w:p>
        </w:tc>
      </w:tr>
      <w:tr>
        <w:tc>
          <w:tcPr>
            <w:tcW w:type="dxa" w:w="2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line="252"/>
            </w:pPr>
            <w:r>
              <w:rPr>
                <w:b w:val="false"/>
                <w:bCs w:val="false"/>
                <w:sz w:val="19"/>
                <w:szCs w:val="19"/>
              </w:rPr>
              <w:t xml:space="preserve">Rozpatrywanie reklamacji dotyczących działalności Agenta</w:t>
            </w:r>
          </w:p>
        </w:tc>
        <w:tc>
          <w:tcPr>
            <w:tcW w:type="dxa" w:w="38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line="252"/>
            </w:pPr>
            <w:r>
              <w:rPr>
                <w:b w:val="false"/>
                <w:bCs w:val="false"/>
                <w:sz w:val="19"/>
                <w:szCs w:val="19"/>
              </w:rPr>
              <w:t xml:space="preserve">art. 6 ust. 1 lit. c RODO w zw. z ustawą o rozpatrywaniu reklamacji przez podmioty rynku finansowego i o Rzeczniku Finansowym</w:t>
            </w:r>
          </w:p>
        </w:tc>
        <w:tc>
          <w:tcPr>
            <w:tcW w:type="dxa" w:w="26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line="252"/>
            </w:pPr>
            <w:r>
              <w:rPr>
                <w:b w:val="false"/>
                <w:bCs w:val="false"/>
                <w:sz w:val="19"/>
                <w:szCs w:val="19"/>
              </w:rPr>
              <w:t xml:space="preserve">okres rozpatrzenia reklamacji oraz okres przedawnienia roszczeń</w:t>
            </w:r>
          </w:p>
        </w:tc>
      </w:tr>
      <w:tr>
        <w:tc>
          <w:tcPr>
            <w:tcW w:type="dxa" w:w="2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line="252"/>
            </w:pPr>
            <w:r>
              <w:rPr>
                <w:b w:val="false"/>
                <w:bCs w:val="false"/>
                <w:sz w:val="19"/>
                <w:szCs w:val="19"/>
              </w:rPr>
              <w:t xml:space="preserve">Rozliczenia, rachunkowość i podatki</w:t>
            </w:r>
          </w:p>
        </w:tc>
        <w:tc>
          <w:tcPr>
            <w:tcW w:type="dxa" w:w="38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line="252"/>
            </w:pPr>
            <w:r>
              <w:rPr>
                <w:b w:val="false"/>
                <w:bCs w:val="false"/>
                <w:sz w:val="19"/>
                <w:szCs w:val="19"/>
              </w:rPr>
              <w:t xml:space="preserve">art. 6 ust. 1 lit. c RODO w zw. z ustawą o rachunkowości i Ordynacją podatkową</w:t>
            </w:r>
          </w:p>
        </w:tc>
        <w:tc>
          <w:tcPr>
            <w:tcW w:type="dxa" w:w="26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line="252"/>
            </w:pPr>
            <w:r>
              <w:rPr>
                <w:b w:val="false"/>
                <w:bCs w:val="false"/>
                <w:sz w:val="19"/>
                <w:szCs w:val="19"/>
              </w:rPr>
              <w:t xml:space="preserve">5 lat od końca roku, w którym powstał obowiązek podatkowy</w:t>
            </w:r>
          </w:p>
        </w:tc>
      </w:tr>
      <w:tr>
        <w:tc>
          <w:tcPr>
            <w:tcW w:type="dxa" w:w="2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line="252"/>
            </w:pPr>
            <w:r>
              <w:rPr>
                <w:b w:val="false"/>
                <w:bCs w:val="false"/>
                <w:sz w:val="19"/>
                <w:szCs w:val="19"/>
              </w:rPr>
              <w:t xml:space="preserve">Ustalenie, dochodzenie i obrona roszczeń</w:t>
            </w:r>
          </w:p>
        </w:tc>
        <w:tc>
          <w:tcPr>
            <w:tcW w:type="dxa" w:w="38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line="252"/>
            </w:pPr>
            <w:r>
              <w:rPr>
                <w:b w:val="false"/>
                <w:bCs w:val="false"/>
                <w:sz w:val="19"/>
                <w:szCs w:val="19"/>
              </w:rPr>
              <w:t xml:space="preserve">art. 6 ust. 1 lit. f RODO</w:t>
            </w:r>
          </w:p>
        </w:tc>
        <w:tc>
          <w:tcPr>
            <w:tcW w:type="dxa" w:w="26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line="252"/>
            </w:pPr>
            <w:r>
              <w:rPr>
                <w:b w:val="false"/>
                <w:bCs w:val="false"/>
                <w:sz w:val="19"/>
                <w:szCs w:val="19"/>
              </w:rPr>
              <w:t xml:space="preserve">okres przedawnienia — co do zasady 3 lata dla roszczeń z umowy ubezpieczenia (art. 819 KC)</w:t>
            </w:r>
          </w:p>
        </w:tc>
      </w:tr>
      <w:tr>
        <w:tc>
          <w:tcPr>
            <w:tcW w:type="dxa" w:w="2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line="252"/>
            </w:pPr>
            <w:r>
              <w:rPr>
                <w:b w:val="false"/>
                <w:bCs w:val="false"/>
                <w:sz w:val="19"/>
                <w:szCs w:val="19"/>
              </w:rPr>
              <w:t xml:space="preserve">Dane o stanie zdrowia (ubezpieczenia na życie, utrata dochodu)</w:t>
            </w:r>
          </w:p>
        </w:tc>
        <w:tc>
          <w:tcPr>
            <w:tcW w:type="dxa" w:w="38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line="252"/>
            </w:pPr>
            <w:r>
              <w:rPr>
                <w:b w:val="false"/>
                <w:bCs w:val="false"/>
                <w:sz w:val="19"/>
                <w:szCs w:val="19"/>
              </w:rPr>
              <w:t xml:space="preserve">art. 9 ust. 2 lit. a RODO — wyraźna zgoda; dane te co do zasady zbiera bezpośrednio zakład ubezpieczeń, a Agent ogranicza ich przetwarzanie do niezbędnego minimum</w:t>
            </w:r>
          </w:p>
        </w:tc>
        <w:tc>
          <w:tcPr>
            <w:tcW w:type="dxa" w:w="26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line="252"/>
            </w:pPr>
            <w:r>
              <w:rPr>
                <w:b w:val="false"/>
                <w:bCs w:val="false"/>
                <w:sz w:val="19"/>
                <w:szCs w:val="19"/>
              </w:rPr>
              <w:t xml:space="preserve">do realizacji celu, nie dłużej niż do cofnięcia zgody</w:t>
            </w:r>
          </w:p>
        </w:tc>
      </w:tr>
    </w:tbl>
    <w:p>
      <w:pPr>
        <w:spacing w:after="140"/>
      </w:pPr>
    </w:p>
    <w:p>
      <w:pPr>
        <w:pStyle w:val="Heading1"/>
        <w:spacing w:after="140" w:before="300"/>
      </w:pPr>
      <w:r>
        <w:rPr>
          <w:color w:val="1F3A5F"/>
        </w:rPr>
        <w:t xml:space="preserve">4. Odbiorcy danych</w:t>
      </w:r>
    </w:p>
    <w:p>
      <w:pPr>
        <w:spacing w:after="120" w:line="276"/>
        <w:jc w:val="both"/>
      </w:pPr>
      <w:r>
        <w:t xml:space="preserve">Pani/Pana dane mogą być przekazywane wyłącznie podmiotom uprawnionym i współpracującym, w zakresie niezbędnym do realizacji powyższych celów:</w:t>
      </w:r>
    </w:p>
    <w:p>
      <w:pPr>
        <w:pStyle w:val="ListParagraph"/>
        <w:numPr>
          <w:ilvl w:val="0"/>
          <w:numId w:val="2"/>
        </w:numPr>
        <w:spacing w:after="70" w:line="276"/>
        <w:jc w:val="both"/>
      </w:pPr>
      <w:r>
        <w:t xml:space="preserve">zakładom ubezpieczeń, na rzecz których Agent wykonuje działalność agencyjną (w celu przygotowania oferty oraz zawarcia i wykonania umowy) — pełny wykaz w punkcie 5;</w:t>
      </w:r>
    </w:p>
    <w:p>
      <w:pPr>
        <w:pStyle w:val="ListParagraph"/>
        <w:numPr>
          <w:ilvl w:val="0"/>
          <w:numId w:val="2"/>
        </w:numPr>
        <w:spacing w:after="70" w:line="276"/>
        <w:jc w:val="both"/>
      </w:pPr>
      <w:r>
        <w:t xml:space="preserve">dostawcom usług informatycznych wspierających działalność Agenta: system CRM </w:t>
      </w:r>
      <w:r>
        <w:rPr>
          <w:b/>
          <w:bCs/>
        </w:rPr>
        <w:t xml:space="preserve">Insly</w:t>
      </w:r>
      <w:r>
        <w:t xml:space="preserve"> (obejmujący również wbudowany moduł kalkulacji składki), hosting stron i poczty, narzędzie do wysyłki wiadomości e-mail, narzędzia analityczne i reklamowe (w zakresie opisanym w polityce cookies);</w:t>
      </w:r>
    </w:p>
    <w:p>
      <w:pPr>
        <w:pStyle w:val="ListParagraph"/>
        <w:numPr>
          <w:ilvl w:val="0"/>
          <w:numId w:val="2"/>
        </w:numPr>
        <w:spacing w:after="70" w:line="276"/>
        <w:jc w:val="both"/>
      </w:pPr>
      <w:r>
        <w:t xml:space="preserve">biuru rachunkowemu, operatorom pocztowym i kurierom, dostawcom usług płatniczych;</w:t>
      </w:r>
    </w:p>
    <w:p>
      <w:pPr>
        <w:pStyle w:val="ListParagraph"/>
        <w:numPr>
          <w:ilvl w:val="0"/>
          <w:numId w:val="2"/>
        </w:numPr>
        <w:spacing w:after="70" w:line="276"/>
        <w:jc w:val="both"/>
      </w:pPr>
      <w:r>
        <w:t xml:space="preserve">organom uprawnionym na podstawie przepisów prawa (m.in. Komisji Nadzoru Finansowego, Rzecznikowi Finansowemu, organom podatkowym).</w:t>
      </w:r>
    </w:p>
    <w:p>
      <w:pPr>
        <w:pStyle w:val="Heading1"/>
        <w:spacing w:after="140" w:before="300"/>
      </w:pPr>
      <w:r>
        <w:rPr>
          <w:color w:val="1F3A5F"/>
        </w:rPr>
        <w:t xml:space="preserve">5. Wykaz zakładów ubezpieczeń</w:t>
      </w:r>
    </w:p>
    <w:p>
      <w:pPr>
        <w:spacing w:after="120" w:line="276"/>
        <w:jc w:val="both"/>
      </w:pPr>
      <w:r>
        <w:t xml:space="preserve">Agent wykonuje działalność agencyjną na rzecz następujących zakładów ubezpieczeń:</w:t>
      </w:r>
    </w:p>
    <w:p>
      <w:pPr>
        <w:pStyle w:val="ListParagraph"/>
        <w:numPr>
          <w:ilvl w:val="0"/>
          <w:numId w:val="2"/>
        </w:numPr>
        <w:spacing w:after="70" w:line="276"/>
        <w:jc w:val="both"/>
      </w:pPr>
      <w:r>
        <w:t xml:space="preserve">Fortegra Europe Insurance Company Limited</w:t>
      </w:r>
    </w:p>
    <w:p>
      <w:pPr>
        <w:pStyle w:val="ListParagraph"/>
        <w:numPr>
          <w:ilvl w:val="0"/>
          <w:numId w:val="2"/>
        </w:numPr>
        <w:spacing w:after="70" w:line="276"/>
        <w:jc w:val="both"/>
      </w:pPr>
      <w:r>
        <w:t xml:space="preserve">Compensa Towarzystwo Ubezpieczeń S.A. Vienna Insurance Group</w:t>
      </w:r>
    </w:p>
    <w:p>
      <w:pPr>
        <w:pStyle w:val="ListParagraph"/>
        <w:numPr>
          <w:ilvl w:val="0"/>
          <w:numId w:val="2"/>
        </w:numPr>
        <w:spacing w:after="70" w:line="276"/>
        <w:jc w:val="both"/>
      </w:pPr>
      <w:r>
        <w:t xml:space="preserve">Generali Towarzystwo Ubezpieczeń S.A.</w:t>
      </w:r>
    </w:p>
    <w:p>
      <w:pPr>
        <w:pStyle w:val="ListParagraph"/>
        <w:numPr>
          <w:ilvl w:val="0"/>
          <w:numId w:val="2"/>
        </w:numPr>
        <w:spacing w:after="70" w:line="276"/>
        <w:jc w:val="both"/>
      </w:pPr>
      <w:r>
        <w:t xml:space="preserve">Generali Życie Towarzystwo Ubezpieczeń S.A.</w:t>
      </w:r>
    </w:p>
    <w:p>
      <w:pPr>
        <w:pStyle w:val="ListParagraph"/>
        <w:numPr>
          <w:ilvl w:val="0"/>
          <w:numId w:val="2"/>
        </w:numPr>
        <w:spacing w:after="70" w:line="276"/>
        <w:jc w:val="both"/>
      </w:pPr>
      <w:r>
        <w:t xml:space="preserve">InterRisk Towarzystwo Ubezpieczeń S.A. Vienna Insurance Group</w:t>
      </w:r>
    </w:p>
    <w:p>
      <w:pPr>
        <w:pStyle w:val="ListParagraph"/>
        <w:numPr>
          <w:ilvl w:val="0"/>
          <w:numId w:val="2"/>
        </w:numPr>
        <w:spacing w:after="70" w:line="276"/>
        <w:jc w:val="both"/>
      </w:pPr>
      <w:r>
        <w:t xml:space="preserve">Link4 Towarzystwo Ubezpieczeń S.A.</w:t>
      </w:r>
    </w:p>
    <w:p>
      <w:pPr>
        <w:pStyle w:val="ListParagraph"/>
        <w:numPr>
          <w:ilvl w:val="0"/>
          <w:numId w:val="2"/>
        </w:numPr>
        <w:spacing w:after="70" w:line="276"/>
        <w:jc w:val="both"/>
      </w:pPr>
      <w:r>
        <w:t xml:space="preserve">Lloyd's Polska Sp. z o.o. (Society of Lloyd's Oddział w Polsce), oddział zakładu ubezpieczeń Society of Lloyd's, Wielka Brytania</w:t>
      </w:r>
    </w:p>
    <w:p>
      <w:pPr>
        <w:pStyle w:val="ListParagraph"/>
        <w:numPr>
          <w:ilvl w:val="0"/>
          <w:numId w:val="2"/>
        </w:numPr>
        <w:spacing w:after="70" w:line="276"/>
        <w:jc w:val="both"/>
      </w:pPr>
      <w:r>
        <w:t xml:space="preserve">Powszechny Zakład Ubezpieczeń S.A.</w:t>
      </w:r>
    </w:p>
    <w:p>
      <w:pPr>
        <w:pStyle w:val="ListParagraph"/>
        <w:numPr>
          <w:ilvl w:val="0"/>
          <w:numId w:val="2"/>
        </w:numPr>
        <w:spacing w:after="70" w:line="276"/>
        <w:jc w:val="both"/>
      </w:pPr>
      <w:r>
        <w:t xml:space="preserve">Powszechny Zakład Ubezpieczeń Życie S.A.</w:t>
      </w:r>
    </w:p>
    <w:p>
      <w:pPr>
        <w:pStyle w:val="ListParagraph"/>
        <w:numPr>
          <w:ilvl w:val="0"/>
          <w:numId w:val="2"/>
        </w:numPr>
        <w:spacing w:after="70" w:line="276"/>
        <w:jc w:val="both"/>
      </w:pPr>
      <w:r>
        <w:t xml:space="preserve">Towarzystwo Ubezpieczeń i Reasekuracji Warta S.A.</w:t>
      </w:r>
    </w:p>
    <w:p>
      <w:pPr>
        <w:pStyle w:val="ListParagraph"/>
        <w:numPr>
          <w:ilvl w:val="0"/>
          <w:numId w:val="2"/>
        </w:numPr>
        <w:spacing w:after="70" w:line="276"/>
        <w:jc w:val="both"/>
      </w:pPr>
      <w:r>
        <w:t xml:space="preserve">Towarzystwo Ubezpieczeń Inter Polska S.A.</w:t>
      </w:r>
    </w:p>
    <w:p>
      <w:pPr>
        <w:pStyle w:val="ListParagraph"/>
        <w:numPr>
          <w:ilvl w:val="0"/>
          <w:numId w:val="2"/>
        </w:numPr>
        <w:spacing w:after="70" w:line="276"/>
        <w:jc w:val="both"/>
      </w:pPr>
      <w:r>
        <w:t xml:space="preserve">Towarzystwo Ubezpieczeń Inter-Życie Polska S.A.</w:t>
      </w:r>
    </w:p>
    <w:p>
      <w:pPr>
        <w:pStyle w:val="ListParagraph"/>
        <w:numPr>
          <w:ilvl w:val="0"/>
          <w:numId w:val="2"/>
        </w:numPr>
        <w:spacing w:after="70" w:line="276"/>
        <w:jc w:val="both"/>
      </w:pPr>
      <w:r>
        <w:t xml:space="preserve">Towarzystwo Ubezpieczeń na Życie Warta S.A.</w:t>
      </w:r>
    </w:p>
    <w:p>
      <w:pPr>
        <w:pStyle w:val="ListParagraph"/>
        <w:numPr>
          <w:ilvl w:val="0"/>
          <w:numId w:val="2"/>
        </w:numPr>
        <w:spacing w:after="70" w:line="276"/>
        <w:jc w:val="both"/>
      </w:pPr>
      <w:r>
        <w:t xml:space="preserve">UNIQA Towarzystwo Ubezpieczeń na Życie S.A.</w:t>
      </w:r>
    </w:p>
    <w:p>
      <w:pPr>
        <w:pStyle w:val="ListParagraph"/>
        <w:numPr>
          <w:ilvl w:val="0"/>
          <w:numId w:val="2"/>
        </w:numPr>
        <w:spacing w:after="70" w:line="276"/>
        <w:jc w:val="both"/>
      </w:pPr>
      <w:r>
        <w:t xml:space="preserve">UNIQA Towarzystwo Ubezpieczeń S.A.</w:t>
      </w:r>
    </w:p>
    <w:p>
      <w:pPr>
        <w:pStyle w:val="ListParagraph"/>
        <w:numPr>
          <w:ilvl w:val="0"/>
          <w:numId w:val="2"/>
        </w:numPr>
        <w:spacing w:after="70" w:line="276"/>
        <w:jc w:val="both"/>
      </w:pPr>
      <w:r>
        <w:t xml:space="preserve">Wiener TU S.A. Vienna Insurance Group</w:t>
      </w:r>
    </w:p>
    <w:p>
      <w:pPr>
        <w:pStyle w:val="ListParagraph"/>
        <w:numPr>
          <w:ilvl w:val="0"/>
          <w:numId w:val="2"/>
        </w:numPr>
        <w:spacing w:after="70" w:line="276"/>
        <w:jc w:val="both"/>
      </w:pPr>
      <w:r>
        <w:t xml:space="preserve">Česká pojišťovna a.s. Oddział w Polsce (marka handlowa: Proama), oddział zakładu ubezpieczeń Česká pojišťovna a.s., Czechy</w:t>
      </w:r>
    </w:p>
    <w:p>
      <w:pPr>
        <w:pStyle w:val="ListParagraph"/>
        <w:numPr>
          <w:ilvl w:val="0"/>
          <w:numId w:val="2"/>
        </w:numPr>
        <w:spacing w:after="70" w:line="276"/>
        <w:jc w:val="both"/>
      </w:pPr>
      <w:r>
        <w:t xml:space="preserve">Sopockie Towarzystwo Ubezpieczeń ERGO Hestia S.A.</w:t>
      </w:r>
    </w:p>
    <w:p>
      <w:pPr>
        <w:pStyle w:val="ListParagraph"/>
        <w:numPr>
          <w:ilvl w:val="0"/>
          <w:numId w:val="2"/>
        </w:numPr>
        <w:spacing w:after="70" w:line="276"/>
        <w:jc w:val="both"/>
      </w:pPr>
      <w:r>
        <w:t xml:space="preserve">Sopockie Towarzystwo Ubezpieczeń na Życie ERGO Hestia S.A.</w:t>
      </w:r>
    </w:p>
    <w:p>
      <w:pPr>
        <w:pStyle w:val="ListParagraph"/>
        <w:numPr>
          <w:ilvl w:val="0"/>
          <w:numId w:val="2"/>
        </w:numPr>
        <w:spacing w:after="70" w:line="276"/>
        <w:jc w:val="both"/>
      </w:pPr>
      <w:r>
        <w:t xml:space="preserve">Balcia Insurance SE Spółka Europejska Oddział w Polsce, oddział zakładu ubezpieczeń Balcia Insurance SE, Łotwa</w:t>
      </w:r>
    </w:p>
    <w:p>
      <w:pPr>
        <w:pStyle w:val="ListParagraph"/>
        <w:numPr>
          <w:ilvl w:val="0"/>
          <w:numId w:val="2"/>
        </w:numPr>
        <w:spacing w:after="70" w:line="276"/>
        <w:jc w:val="both"/>
      </w:pPr>
      <w:r>
        <w:t xml:space="preserve">Towarzystwo Ubezpieczeń Allianz Życie Polska S.A.</w:t>
      </w:r>
    </w:p>
    <w:p>
      <w:pPr>
        <w:pStyle w:val="ListParagraph"/>
        <w:numPr>
          <w:ilvl w:val="0"/>
          <w:numId w:val="2"/>
        </w:numPr>
        <w:spacing w:after="70" w:line="276"/>
        <w:jc w:val="both"/>
      </w:pPr>
      <w:r>
        <w:t xml:space="preserve">Towarzystwo Ubezpieczeń i Reasekuracji Allianz Polska S.A.</w:t>
      </w:r>
    </w:p>
    <w:p>
      <w:pPr>
        <w:pStyle w:val="ListParagraph"/>
        <w:numPr>
          <w:ilvl w:val="0"/>
          <w:numId w:val="2"/>
        </w:numPr>
        <w:spacing w:after="70" w:line="276"/>
        <w:jc w:val="both"/>
      </w:pPr>
      <w:r>
        <w:t xml:space="preserve">TUZ Towarzystwo Ubezpieczeń Wzajemnych</w:t>
      </w:r>
    </w:p>
    <w:p>
      <w:pPr>
        <w:pStyle w:val="Heading1"/>
        <w:spacing w:after="140" w:before="300"/>
      </w:pPr>
      <w:r>
        <w:rPr>
          <w:color w:val="1F3A5F"/>
        </w:rPr>
        <w:t xml:space="preserve">6. Przekazywanie danych poza Europejski Obszar Gospodarczy</w:t>
      </w:r>
    </w:p>
    <w:p>
      <w:pPr>
        <w:spacing w:after="120" w:line="276"/>
        <w:jc w:val="both"/>
      </w:pPr>
      <w:r>
        <w:t xml:space="preserve">Agent co do zasady nie przekazuje danych poza Europejski Obszar Gospodarczy. Jeżeli korzystanie z narzędzi dostawców globalnych (np. Google, Meta) wiąże się z takim przekazaniem, odbywa się ono na podstawie mechanizmów przewidzianych w RODO, w szczególności decyzji o adekwatności lub standardowych klauzul umownych.</w:t>
      </w:r>
    </w:p>
    <w:p>
      <w:pPr>
        <w:pStyle w:val="Heading1"/>
        <w:spacing w:after="140" w:before="300"/>
      </w:pPr>
      <w:r>
        <w:rPr>
          <w:color w:val="1F3A5F"/>
        </w:rPr>
        <w:t xml:space="preserve">7. Pani/Pana prawa</w:t>
      </w:r>
    </w:p>
    <w:p>
      <w:pPr>
        <w:spacing w:after="120" w:line="276"/>
        <w:jc w:val="both"/>
      </w:pPr>
      <w:r>
        <w:t xml:space="preserve">Przysługują Pani/Panu prawa: dostępu do danych i uzyskania ich kopii, sprostowania, usunięcia, ograniczenia przetwarzania, przenoszenia danych oraz prawo sprzeciwu — w tym sprzeciwu wobec marketingu bezpośredniego, który jest skuteczny zawsze i bez podawania przyczyny. Zgodę można cofnąć w każdym czasie, bez wpływu na zgodność z prawem przetwarzania dokonanego przed jej cofnięciem. Przysługuje Pani/Panu również prawo wniesienia skargi do Prezesa Urzędu Ochrony Danych Osobowych (ul. Stawki 2, 00-193 Warszawa).</w:t>
      </w:r>
    </w:p>
    <w:p>
      <w:pPr>
        <w:pStyle w:val="Heading1"/>
        <w:spacing w:after="140" w:before="300"/>
      </w:pPr>
      <w:r>
        <w:rPr>
          <w:color w:val="1F3A5F"/>
        </w:rPr>
        <w:t xml:space="preserve">8. Dobrowolność podania danych</w:t>
      </w:r>
    </w:p>
    <w:p>
      <w:pPr>
        <w:spacing w:after="120" w:line="276"/>
        <w:jc w:val="both"/>
      </w:pPr>
      <w:r>
        <w:t xml:space="preserve">Podanie danych jest dobrowolne, jednak niezbędne do przedstawienia propozycji ubezpieczenia i wykonania czynności agencyjnych — obowiązek przeprowadzenia analizy wymagań i potrzeb przed zawarciem umowy wynika z ustawy o dystrybucji ubezpieczeń. Podanie danych w celach marketingowych jest w pełni dobrowolne.</w:t>
      </w:r>
    </w:p>
    <w:p>
      <w:pPr>
        <w:pStyle w:val="Heading1"/>
        <w:spacing w:after="140" w:before="300"/>
      </w:pPr>
      <w:r>
        <w:rPr>
          <w:color w:val="1F3A5F"/>
        </w:rPr>
        <w:t xml:space="preserve">9. Zautomatyzowane podejmowanie decyzji i profilowanie</w:t>
      </w:r>
    </w:p>
    <w:p>
      <w:pPr>
        <w:spacing w:after="120" w:line="276"/>
        <w:jc w:val="both"/>
      </w:pPr>
      <w:r>
        <w:t xml:space="preserve">Kalkulacja składki ubezpieczeniowej odbywa się z wykorzystaniem narzędzi automatycznych — zarówno w systemach kalkulacyjnych poszczególnych zakładów ubezpieczeń, jak i w module kalkulacji składki wbudowanym w system CRM </w:t>
      </w:r>
      <w:r>
        <w:rPr>
          <w:b/>
          <w:bCs/>
        </w:rPr>
        <w:t xml:space="preserve">Insly</w:t>
      </w:r>
      <w:r>
        <w:t xml:space="preserve">, z którego korzysta Agent. Wyliczenie ma charakter wstępnej wyceny (oferty), którą może Pani/Pan przyjąć albo odrzucić, a w proces obsługi zawsze zaangażowany jest Agent. Agent nie podejmuje wobec Pani/Pana decyzji opartych wyłącznie na zautomatyzowanym przetwarzaniu, które wywoływałyby skutki prawne lub w podobny sposób istotnie na Panią/Pana wpływały. Szczegółowych informacji o zasadach kalkulacji składki w systemie danego zakładu ubezpieczeń udziela ten zakład jako administrator.</w:t>
      </w:r>
    </w:p>
    <w:p>
      <w:pPr>
        <w:pStyle w:val="Heading1"/>
        <w:spacing w:after="140" w:before="300"/>
      </w:pPr>
      <w:r>
        <w:rPr>
          <w:color w:val="1F3A5F"/>
        </w:rPr>
        <w:t xml:space="preserve">10. Dane pozyskane od osoby innej niż osoba, której dotyczą</w:t>
      </w:r>
    </w:p>
    <w:p>
      <w:pPr>
        <w:spacing w:after="120" w:line="276"/>
        <w:jc w:val="both"/>
      </w:pPr>
      <w:r>
        <w:t xml:space="preserve">Jeżeli Pani/Pana dane przekazał Agentowi ubezpieczający (np. współwłaściciel pojazdu lub nieruchomości, pracodawca, rodzic), Agent przetwarza je w zakresie niezbędnym do przygotowania i obsługi umowy ubezpieczenia — obejmują one dane identyfikacyjne, kontaktowe oraz dane dotyczące przedmiotu ubezpieczenia. Pozostałe informacje wskazane w niniejszej klauzuli stosuje się odpowiednio.</w:t>
      </w:r>
    </w:p>
    <w:sectPr>
      <w:headerReference w:type="default" r:id="rId7"/>
      <w:footerReference w:type="default" r:id="rId8"/>
      <w:pgSz w:w="11906" w:h="16838" w:orient="portrait"/>
      <w:pgMar w:top="1200" w:right="1440" w:bottom="11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4"/>
      </w:pBdr>
      <w:jc w:val="center"/>
    </w:pPr>
    <w:r>
      <w:rPr>
        <w:color w:val="595959"/>
        <w:sz w:val="16"/>
        <w:szCs w:val="16"/>
      </w:rPr>
      <w:t xml:space="preserve">Informacja o przetwarzaniu danych osobowych · aktualizacja: lipiec 2026 · strona </w:t>
    </w:r>
    <w:r>
      <w:rPr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95959"/>
        <w:sz w:val="16"/>
        <w:szCs w:val="16"/>
      </w:rPr>
      <w:t xml:space="preserve"> z </w:t>
    </w:r>
    <w:r>
      <w:rPr>
        <w:color w:val="595959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4" w:space="4"/>
      </w:pBdr>
      <w:jc w:val="right"/>
    </w:pPr>
    <w:r>
      <w:rPr>
        <w:color w:val="595959"/>
        <w:sz w:val="16"/>
        <w:szCs w:val="16"/>
      </w:rPr>
      <w:t xml:space="preserve">Piotr Sperka Pośrednictwo Finansowe · INSOKL / MEDSOKL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44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300"/>
      <w:outlineLvl w:val="0"/>
    </w:pPr>
    <w:rPr>
      <w:rFonts w:ascii="Calibri" w:cs="Calibri" w:eastAsia="Calibri" w:hAnsi="Calibri"/>
      <w:b/>
      <w:bCs/>
      <w:color w:val="1F3A5F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2026-07-21T10:30:29.030Z</dcterms:created>
  <dcterms:modified xsi:type="dcterms:W3CDTF">2026-07-21T10:30:29.053Z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